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3C021B0" w:rsidR="00AB4683" w:rsidRPr="005545C4" w:rsidRDefault="00345C07" w:rsidP="006F4DA5">
      <w:pPr>
        <w:pStyle w:val="NoSpacing"/>
        <w:rPr>
          <w:rFonts w:ascii="Arial" w:hAnsi="Arial" w:cs="Arial"/>
        </w:rPr>
      </w:pPr>
      <w:r w:rsidRPr="005545C4">
        <w:rPr>
          <w:rFonts w:ascii="Arial" w:hAnsi="Arial" w:cs="Arial"/>
        </w:rPr>
        <w:t xml:space="preserve"> </w:t>
      </w:r>
    </w:p>
    <w:tbl>
      <w:tblPr>
        <w:tblW w:w="5000" w:type="pct"/>
        <w:tblCellMar>
          <w:left w:w="0" w:type="dxa"/>
          <w:right w:w="0" w:type="dxa"/>
        </w:tblCellMar>
        <w:tblLook w:val="04A0" w:firstRow="1" w:lastRow="0" w:firstColumn="1" w:lastColumn="0" w:noHBand="0" w:noVBand="1"/>
      </w:tblPr>
      <w:tblGrid>
        <w:gridCol w:w="9360"/>
      </w:tblGrid>
      <w:tr w:rsidR="005545C4" w:rsidRPr="005545C4" w14:paraId="5AE3A396" w14:textId="77777777" w:rsidTr="005545C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545C4" w:rsidRPr="005545C4" w14:paraId="0736B408" w14:textId="77777777">
              <w:trPr>
                <w:jc w:val="center"/>
              </w:trPr>
              <w:tc>
                <w:tcPr>
                  <w:tcW w:w="0" w:type="auto"/>
                  <w:shd w:val="clear" w:color="auto" w:fill="FFFFFF"/>
                  <w:vAlign w:val="center"/>
                  <w:hideMark/>
                </w:tcPr>
                <w:tbl>
                  <w:tblPr>
                    <w:tblW w:w="9210" w:type="dxa"/>
                    <w:jc w:val="center"/>
                    <w:tblCellMar>
                      <w:left w:w="0" w:type="dxa"/>
                      <w:right w:w="0" w:type="dxa"/>
                    </w:tblCellMar>
                    <w:tblLook w:val="04A0" w:firstRow="1" w:lastRow="0" w:firstColumn="1" w:lastColumn="0" w:noHBand="0" w:noVBand="1"/>
                  </w:tblPr>
                  <w:tblGrid>
                    <w:gridCol w:w="9222"/>
                  </w:tblGrid>
                  <w:tr w:rsidR="005545C4" w:rsidRPr="005545C4" w14:paraId="39FF7E2D"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5545C4" w:rsidRPr="005545C4" w14:paraId="7410D154" w14:textId="77777777">
                          <w:trPr>
                            <w:jc w:val="center"/>
                          </w:trPr>
                          <w:tc>
                            <w:tcPr>
                              <w:tcW w:w="0" w:type="auto"/>
                              <w:shd w:val="clear" w:color="auto" w:fill="FFFFFF"/>
                              <w:tcMar>
                                <w:top w:w="30" w:type="dxa"/>
                                <w:left w:w="30" w:type="dxa"/>
                                <w:bottom w:w="30" w:type="dxa"/>
                                <w:right w:w="3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12"/>
                              </w:tblGrid>
                              <w:tr w:rsidR="005545C4" w:rsidRPr="005545C4" w14:paraId="1CF9D0A7"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12"/>
                                    </w:tblGrid>
                                    <w:tr w:rsidR="005545C4" w:rsidRPr="005545C4" w14:paraId="3F9449B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12"/>
                                          </w:tblGrid>
                                          <w:tr w:rsidR="005545C4" w:rsidRPr="005545C4" w14:paraId="2DFA5494" w14:textId="77777777">
                                            <w:tc>
                                              <w:tcPr>
                                                <w:tcW w:w="0" w:type="auto"/>
                                                <w:tcMar>
                                                  <w:top w:w="150" w:type="dxa"/>
                                                  <w:left w:w="0" w:type="dxa"/>
                                                  <w:bottom w:w="150" w:type="dxa"/>
                                                  <w:right w:w="0" w:type="dxa"/>
                                                </w:tcMar>
                                                <w:hideMark/>
                                              </w:tcPr>
                                              <w:p w14:paraId="1FD79EF8" w14:textId="2A663A78" w:rsidR="005545C4" w:rsidRPr="005545C4" w:rsidRDefault="005545C4">
                                                <w:pPr>
                                                  <w:jc w:val="center"/>
                                                  <w:rPr>
                                                    <w:rFonts w:ascii="Arial" w:hAnsi="Arial" w:cs="Arial"/>
                                                    <w:sz w:val="22"/>
                                                  </w:rPr>
                                                </w:pPr>
                                                <w:r w:rsidRPr="005545C4">
                                                  <w:rPr>
                                                    <w:rFonts w:ascii="Arial" w:hAnsi="Arial" w:cs="Arial"/>
                                                    <w:noProof/>
                                                  </w:rPr>
                                                  <w:drawing>
                                                    <wp:inline distT="0" distB="0" distL="0" distR="0" wp14:anchorId="567D4D60" wp14:editId="2A4C40DC">
                                                      <wp:extent cx="5722620" cy="1021080"/>
                                                      <wp:effectExtent l="0" t="0" r="0" b="7620"/>
                                                      <wp:docPr id="6" name="Picture 6" descr="cid:image001.png@01D747D9.CA4BC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47D9.CA4BC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2620" cy="1021080"/>
                                                              </a:xfrm>
                                                              <a:prstGeom prst="rect">
                                                                <a:avLst/>
                                                              </a:prstGeom>
                                                              <a:noFill/>
                                                              <a:ln>
                                                                <a:noFill/>
                                                              </a:ln>
                                                            </pic:spPr>
                                                          </pic:pic>
                                                        </a:graphicData>
                                                      </a:graphic>
                                                    </wp:inline>
                                                  </w:drawing>
                                                </w:r>
                                              </w:p>
                                            </w:tc>
                                          </w:tr>
                                        </w:tbl>
                                        <w:p w14:paraId="778B8C5A" w14:textId="77777777" w:rsidR="005545C4" w:rsidRPr="005545C4" w:rsidRDefault="005545C4">
                                          <w:pPr>
                                            <w:rPr>
                                              <w:rFonts w:ascii="Arial" w:eastAsia="Times New Roman" w:hAnsi="Arial" w:cs="Arial"/>
                                              <w:sz w:val="20"/>
                                              <w:szCs w:val="20"/>
                                            </w:rPr>
                                          </w:pPr>
                                        </w:p>
                                      </w:tc>
                                    </w:tr>
                                  </w:tbl>
                                  <w:p w14:paraId="36DBBB7B" w14:textId="77777777" w:rsidR="005545C4" w:rsidRPr="005545C4" w:rsidRDefault="005545C4">
                                    <w:pPr>
                                      <w:jc w:val="center"/>
                                      <w:rPr>
                                        <w:rFonts w:ascii="Arial" w:hAnsi="Arial" w:cs="Arial"/>
                                        <w:sz w:val="22"/>
                                      </w:rPr>
                                    </w:pPr>
                                  </w:p>
                                  <w:tbl>
                                    <w:tblPr>
                                      <w:tblW w:w="5000" w:type="pct"/>
                                      <w:jc w:val="center"/>
                                      <w:tblCellMar>
                                        <w:left w:w="0" w:type="dxa"/>
                                        <w:right w:w="0" w:type="dxa"/>
                                      </w:tblCellMar>
                                      <w:tblLook w:val="04A0" w:firstRow="1" w:lastRow="0" w:firstColumn="1" w:lastColumn="0" w:noHBand="0" w:noVBand="1"/>
                                    </w:tblPr>
                                    <w:tblGrid>
                                      <w:gridCol w:w="4500"/>
                                      <w:gridCol w:w="6"/>
                                      <w:gridCol w:w="4506"/>
                                    </w:tblGrid>
                                    <w:tr w:rsidR="005545C4" w:rsidRPr="005545C4" w14:paraId="05A4841E" w14:textId="77777777" w:rsidTr="005545C4">
                                      <w:trPr>
                                        <w:jc w:val="center"/>
                                      </w:trPr>
                                      <w:tc>
                                        <w:tcPr>
                                          <w:tcW w:w="2497" w:type="pct"/>
                                          <w:hideMark/>
                                        </w:tcPr>
                                        <w:tbl>
                                          <w:tblPr>
                                            <w:tblW w:w="5000" w:type="pct"/>
                                            <w:tblCellMar>
                                              <w:left w:w="0" w:type="dxa"/>
                                              <w:right w:w="0" w:type="dxa"/>
                                            </w:tblCellMar>
                                            <w:tblLook w:val="04A0" w:firstRow="1" w:lastRow="0" w:firstColumn="1" w:lastColumn="0" w:noHBand="0" w:noVBand="1"/>
                                          </w:tblPr>
                                          <w:tblGrid>
                                            <w:gridCol w:w="4500"/>
                                          </w:tblGrid>
                                          <w:tr w:rsidR="005545C4" w:rsidRPr="005545C4" w14:paraId="69950EEE" w14:textId="77777777">
                                            <w:tc>
                                              <w:tcPr>
                                                <w:tcW w:w="0" w:type="auto"/>
                                                <w:tcMar>
                                                  <w:top w:w="150" w:type="dxa"/>
                                                  <w:left w:w="0" w:type="dxa"/>
                                                  <w:bottom w:w="150" w:type="dxa"/>
                                                  <w:right w:w="0" w:type="dxa"/>
                                                </w:tcMar>
                                                <w:hideMark/>
                                              </w:tcPr>
                                              <w:p w14:paraId="26B42FA8" w14:textId="795BF3CD" w:rsidR="005545C4" w:rsidRPr="005545C4" w:rsidRDefault="005545C4">
                                                <w:pPr>
                                                  <w:jc w:val="center"/>
                                                  <w:rPr>
                                                    <w:rFonts w:ascii="Arial" w:hAnsi="Arial" w:cs="Arial"/>
                                                  </w:rPr>
                                                </w:pPr>
                                                <w:r w:rsidRPr="005545C4">
                                                  <w:rPr>
                                                    <w:rFonts w:ascii="Arial" w:hAnsi="Arial" w:cs="Arial"/>
                                                    <w:noProof/>
                                                  </w:rPr>
                                                  <w:drawing>
                                                    <wp:inline distT="0" distB="0" distL="0" distR="0" wp14:anchorId="200E490C" wp14:editId="0A40F74D">
                                                      <wp:extent cx="2621280" cy="609600"/>
                                                      <wp:effectExtent l="0" t="0" r="7620" b="0"/>
                                                      <wp:docPr id="5" name="Picture 5" descr="https://files.constantcontact.com/c6415b07101/42464fab-07f1-4d4f-bc71-dad0ea887f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6415b07101/42464fab-07f1-4d4f-bc71-dad0ea887f2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609600"/>
                                                              </a:xfrm>
                                                              <a:prstGeom prst="rect">
                                                                <a:avLst/>
                                                              </a:prstGeom>
                                                              <a:noFill/>
                                                              <a:ln>
                                                                <a:noFill/>
                                                              </a:ln>
                                                            </pic:spPr>
                                                          </pic:pic>
                                                        </a:graphicData>
                                                      </a:graphic>
                                                    </wp:inline>
                                                  </w:drawing>
                                                </w:r>
                                              </w:p>
                                            </w:tc>
                                          </w:tr>
                                        </w:tbl>
                                        <w:p w14:paraId="166AA491" w14:textId="77777777" w:rsidR="005545C4" w:rsidRPr="005545C4" w:rsidRDefault="005545C4">
                                          <w:pPr>
                                            <w:rPr>
                                              <w:rFonts w:ascii="Arial" w:eastAsia="Times New Roman" w:hAnsi="Arial" w:cs="Arial"/>
                                              <w:sz w:val="20"/>
                                              <w:szCs w:val="20"/>
                                            </w:rPr>
                                          </w:pPr>
                                        </w:p>
                                      </w:tc>
                                      <w:tc>
                                        <w:tcPr>
                                          <w:tcW w:w="2503" w:type="pct"/>
                                          <w:gridSpan w:val="2"/>
                                          <w:hideMark/>
                                        </w:tcPr>
                                        <w:tbl>
                                          <w:tblPr>
                                            <w:tblW w:w="5000" w:type="pct"/>
                                            <w:tblCellMar>
                                              <w:left w:w="0" w:type="dxa"/>
                                              <w:right w:w="0" w:type="dxa"/>
                                            </w:tblCellMar>
                                            <w:tblLook w:val="04A0" w:firstRow="1" w:lastRow="0" w:firstColumn="1" w:lastColumn="0" w:noHBand="0" w:noVBand="1"/>
                                          </w:tblPr>
                                          <w:tblGrid>
                                            <w:gridCol w:w="4512"/>
                                          </w:tblGrid>
                                          <w:tr w:rsidR="005545C4" w:rsidRPr="005545C4" w14:paraId="4794375A" w14:textId="77777777">
                                            <w:tc>
                                              <w:tcPr>
                                                <w:tcW w:w="0" w:type="auto"/>
                                                <w:hideMark/>
                                              </w:tcPr>
                                              <w:p w14:paraId="14381BEE" w14:textId="5C2DFA4A" w:rsidR="005545C4" w:rsidRPr="005545C4" w:rsidRDefault="005545C4">
                                                <w:pPr>
                                                  <w:jc w:val="center"/>
                                                  <w:rPr>
                                                    <w:rFonts w:ascii="Arial" w:hAnsi="Arial" w:cs="Arial"/>
                                                    <w:sz w:val="22"/>
                                                  </w:rPr>
                                                </w:pPr>
                                                <w:r w:rsidRPr="005545C4">
                                                  <w:rPr>
                                                    <w:rFonts w:ascii="Arial" w:hAnsi="Arial" w:cs="Arial"/>
                                                    <w:noProof/>
                                                    <w:color w:val="0000FF"/>
                                                  </w:rPr>
                                                  <w:drawing>
                                                    <wp:inline distT="0" distB="0" distL="0" distR="0" wp14:anchorId="5F151DC9" wp14:editId="539026D1">
                                                      <wp:extent cx="2865120" cy="998220"/>
                                                      <wp:effectExtent l="0" t="0" r="0" b="0"/>
                                                      <wp:docPr id="4" name="Picture 4" descr="https://files.constantcontact.com/c6415b07101/0e078401-b0a3-49dd-8905-6e0e2c9b65d7.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c6415b07101/0e078401-b0a3-49dd-8905-6e0e2c9b65d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120" cy="998220"/>
                                                              </a:xfrm>
                                                              <a:prstGeom prst="rect">
                                                                <a:avLst/>
                                                              </a:prstGeom>
                                                              <a:noFill/>
                                                              <a:ln>
                                                                <a:noFill/>
                                                              </a:ln>
                                                            </pic:spPr>
                                                          </pic:pic>
                                                        </a:graphicData>
                                                      </a:graphic>
                                                    </wp:inline>
                                                  </w:drawing>
                                                </w:r>
                                              </w:p>
                                            </w:tc>
                                          </w:tr>
                                        </w:tbl>
                                        <w:p w14:paraId="1C1C52E3" w14:textId="77777777" w:rsidR="005545C4" w:rsidRPr="005545C4" w:rsidRDefault="005545C4">
                                          <w:pPr>
                                            <w:rPr>
                                              <w:rFonts w:ascii="Arial" w:eastAsia="Times New Roman" w:hAnsi="Arial" w:cs="Arial"/>
                                              <w:sz w:val="20"/>
                                              <w:szCs w:val="20"/>
                                            </w:rPr>
                                          </w:pPr>
                                        </w:p>
                                      </w:tc>
                                    </w:tr>
                                    <w:tr w:rsidR="005545C4" w:rsidRPr="005545C4" w14:paraId="54B94704" w14:textId="77777777">
                                      <w:trPr>
                                        <w:jc w:val="center"/>
                                      </w:trPr>
                                      <w:tc>
                                        <w:tcPr>
                                          <w:tcW w:w="2500" w:type="pct"/>
                                          <w:gridSpan w:val="2"/>
                                          <w:hideMark/>
                                        </w:tcPr>
                                        <w:p w14:paraId="7AC2C126" w14:textId="77777777" w:rsidR="005545C4" w:rsidRPr="005545C4" w:rsidRDefault="005545C4">
                                          <w:pPr>
                                            <w:rPr>
                                              <w:rFonts w:ascii="Arial" w:eastAsia="Times New Roman" w:hAnsi="Arial" w:cs="Arial"/>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6"/>
                                          </w:tblGrid>
                                          <w:tr w:rsidR="005545C4" w:rsidRPr="005545C4" w14:paraId="62064D55" w14:textId="77777777">
                                            <w:tc>
                                              <w:tcPr>
                                                <w:tcW w:w="0" w:type="auto"/>
                                                <w:tcMar>
                                                  <w:top w:w="150" w:type="dxa"/>
                                                  <w:left w:w="150" w:type="dxa"/>
                                                  <w:bottom w:w="150" w:type="dxa"/>
                                                  <w:right w:w="300" w:type="dxa"/>
                                                </w:tcMar>
                                                <w:hideMark/>
                                              </w:tcPr>
                                              <w:p w14:paraId="1C78D168" w14:textId="77777777" w:rsidR="005545C4" w:rsidRPr="005545C4" w:rsidRDefault="005545C4">
                                                <w:pPr>
                                                  <w:rPr>
                                                    <w:rFonts w:ascii="Arial" w:eastAsia="Times New Roman" w:hAnsi="Arial" w:cs="Arial"/>
                                                    <w:sz w:val="20"/>
                                                    <w:szCs w:val="20"/>
                                                  </w:rPr>
                                                </w:pPr>
                                              </w:p>
                                            </w:tc>
                                          </w:tr>
                                        </w:tbl>
                                        <w:p w14:paraId="26D1ABD1" w14:textId="77777777" w:rsidR="005545C4" w:rsidRPr="005545C4" w:rsidRDefault="005545C4">
                                          <w:pPr>
                                            <w:rPr>
                                              <w:rFonts w:ascii="Arial" w:eastAsia="Times New Roman" w:hAnsi="Arial" w:cs="Arial"/>
                                              <w:sz w:val="20"/>
                                              <w:szCs w:val="20"/>
                                            </w:rPr>
                                          </w:pPr>
                                        </w:p>
                                      </w:tc>
                                    </w:tr>
                                    <w:tr w:rsidR="005545C4" w:rsidRPr="005545C4" w14:paraId="7C73ED88" w14:textId="77777777">
                                      <w:trPr>
                                        <w:jc w:val="center"/>
                                      </w:trPr>
                                      <w:tc>
                                        <w:tcPr>
                                          <w:tcW w:w="5000" w:type="pct"/>
                                          <w:gridSpan w:val="3"/>
                                          <w:hideMark/>
                                        </w:tcPr>
                                        <w:tbl>
                                          <w:tblPr>
                                            <w:tblW w:w="5000" w:type="pct"/>
                                            <w:tblCellMar>
                                              <w:left w:w="0" w:type="dxa"/>
                                              <w:right w:w="0" w:type="dxa"/>
                                            </w:tblCellMar>
                                            <w:tblLook w:val="04A0" w:firstRow="1" w:lastRow="0" w:firstColumn="1" w:lastColumn="0" w:noHBand="0" w:noVBand="1"/>
                                          </w:tblPr>
                                          <w:tblGrid>
                                            <w:gridCol w:w="9012"/>
                                          </w:tblGrid>
                                          <w:tr w:rsidR="005545C4" w:rsidRPr="005545C4" w14:paraId="27C52444" w14:textId="77777777">
                                            <w:tc>
                                              <w:tcPr>
                                                <w:tcW w:w="0" w:type="auto"/>
                                                <w:tcMar>
                                                  <w:top w:w="150" w:type="dxa"/>
                                                  <w:left w:w="300" w:type="dxa"/>
                                                  <w:bottom w:w="150" w:type="dxa"/>
                                                  <w:right w:w="300" w:type="dxa"/>
                                                </w:tcMar>
                                                <w:hideMark/>
                                              </w:tcPr>
                                              <w:p w14:paraId="39FE463B" w14:textId="77777777" w:rsidR="005545C4" w:rsidRPr="005545C4" w:rsidRDefault="005545C4">
                                                <w:pPr>
                                                  <w:jc w:val="center"/>
                                                  <w:rPr>
                                                    <w:rFonts w:ascii="Arial" w:hAnsi="Arial" w:cs="Arial"/>
                                                    <w:color w:val="0D0D0D"/>
                                                    <w:sz w:val="32"/>
                                                    <w:szCs w:val="32"/>
                                                  </w:rPr>
                                                </w:pPr>
                                                <w:r w:rsidRPr="005545C4">
                                                  <w:rPr>
                                                    <w:rFonts w:ascii="Arial" w:hAnsi="Arial" w:cs="Arial"/>
                                                    <w:b/>
                                                    <w:bCs/>
                                                    <w:color w:val="0D0D0D"/>
                                                    <w:sz w:val="32"/>
                                                    <w:szCs w:val="32"/>
                                                  </w:rPr>
                                                  <w:t>$200 Million in LEDA Recovery Grants Available</w:t>
                                                </w:r>
                                              </w:p>
                                              <w:p w14:paraId="6AD9274A" w14:textId="77777777" w:rsidR="005545C4" w:rsidRPr="005545C4" w:rsidRDefault="005545C4">
                                                <w:pPr>
                                                  <w:jc w:val="center"/>
                                                  <w:rPr>
                                                    <w:rFonts w:ascii="Arial" w:hAnsi="Arial" w:cs="Arial"/>
                                                    <w:color w:val="0D0D0D"/>
                                                    <w:sz w:val="21"/>
                                                    <w:szCs w:val="21"/>
                                                  </w:rPr>
                                                </w:pPr>
                                                <w:r w:rsidRPr="005545C4">
                                                  <w:rPr>
                                                    <w:rFonts w:ascii="Arial" w:hAnsi="Arial" w:cs="Arial"/>
                                                    <w:i/>
                                                    <w:iCs/>
                                                    <w:color w:val="0D0D0D"/>
                                                    <w:szCs w:val="24"/>
                                                  </w:rPr>
                                                  <w:t>Grants of Up to $100,000 For Businesses to Hire Employees</w:t>
                                                </w:r>
                                              </w:p>
                                            </w:tc>
                                          </w:tr>
                                        </w:tbl>
                                        <w:p w14:paraId="510D0B36" w14:textId="77777777" w:rsidR="005545C4" w:rsidRPr="005545C4" w:rsidRDefault="005545C4">
                                          <w:pPr>
                                            <w:rPr>
                                              <w:rFonts w:ascii="Arial" w:eastAsia="Times New Roman" w:hAnsi="Arial" w:cs="Arial"/>
                                              <w:sz w:val="20"/>
                                              <w:szCs w:val="20"/>
                                            </w:rPr>
                                          </w:pPr>
                                        </w:p>
                                      </w:tc>
                                    </w:tr>
                                    <w:tr w:rsidR="005545C4" w:rsidRPr="005545C4" w14:paraId="7F4AEAFA" w14:textId="77777777">
                                      <w:trPr>
                                        <w:jc w:val="center"/>
                                      </w:trPr>
                                      <w:tc>
                                        <w:tcPr>
                                          <w:tcW w:w="5000" w:type="pct"/>
                                          <w:gridSpan w:val="3"/>
                                          <w:hideMark/>
                                        </w:tcPr>
                                        <w:tbl>
                                          <w:tblPr>
                                            <w:tblW w:w="5000" w:type="pct"/>
                                            <w:tblCellMar>
                                              <w:left w:w="0" w:type="dxa"/>
                                              <w:right w:w="0" w:type="dxa"/>
                                            </w:tblCellMar>
                                            <w:tblLook w:val="04A0" w:firstRow="1" w:lastRow="0" w:firstColumn="1" w:lastColumn="0" w:noHBand="0" w:noVBand="1"/>
                                          </w:tblPr>
                                          <w:tblGrid>
                                            <w:gridCol w:w="9012"/>
                                          </w:tblGrid>
                                          <w:tr w:rsidR="005545C4" w:rsidRPr="005545C4" w14:paraId="3FB797DC" w14:textId="77777777">
                                            <w:tc>
                                              <w:tcPr>
                                                <w:tcW w:w="0" w:type="auto"/>
                                                <w:tcMar>
                                                  <w:top w:w="150" w:type="dxa"/>
                                                  <w:left w:w="300" w:type="dxa"/>
                                                  <w:bottom w:w="150" w:type="dxa"/>
                                                  <w:right w:w="300" w:type="dxa"/>
                                                </w:tcMar>
                                              </w:tcPr>
                                              <w:p w14:paraId="08F39814" w14:textId="77777777" w:rsidR="005545C4" w:rsidRPr="005545C4" w:rsidRDefault="005545C4" w:rsidP="005545C4">
                                                <w:pPr>
                                                  <w:spacing w:line="240" w:lineRule="auto"/>
                                                  <w:rPr>
                                                    <w:rFonts w:ascii="Arial" w:hAnsi="Arial" w:cs="Arial"/>
                                                    <w:color w:val="0D0D0D"/>
                                                    <w:szCs w:val="24"/>
                                                  </w:rPr>
                                                </w:pPr>
                                                <w:r w:rsidRPr="005545C4">
                                                  <w:rPr>
                                                    <w:rFonts w:ascii="Arial" w:hAnsi="Arial" w:cs="Arial"/>
                                                    <w:b/>
                                                    <w:bCs/>
                                                    <w:color w:val="0D0D0D"/>
                                                    <w:szCs w:val="24"/>
                                                  </w:rPr>
                                                  <w:t>SANTA FE, N.M.</w:t>
                                                </w:r>
                                                <w:r w:rsidRPr="005545C4">
                                                  <w:rPr>
                                                    <w:rFonts w:ascii="Arial" w:hAnsi="Arial" w:cs="Arial"/>
                                                    <w:color w:val="0D0D0D"/>
                                                    <w:szCs w:val="24"/>
                                                  </w:rPr>
                                                  <w:t> – Applications are now being accepted for Local Economic Development Act (LEDA) Recovery Grants of up to $100,000, the New Mexico Economic Development Department (EDD) and New Mexico Finance Authority (NMFA) announced today.</w:t>
                                                </w:r>
                                              </w:p>
                                              <w:p w14:paraId="0DA04BB8"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The temporary relief fund was created in the 2021 Legislative Session to help businesses that were hit the hardest by the pandemic. Applications are due no later than June 15, 2021.</w:t>
                                                </w:r>
                                                <w:bookmarkStart w:id="0" w:name="_GoBack"/>
                                                <w:bookmarkEnd w:id="0"/>
                                              </w:p>
                                              <w:p w14:paraId="75C52503"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“We know that small businesses are the lifeline of New Mexico's economy; their success and stability is critical for building a successful and sustainable recovery," Gov. Michelle Lujan Grisham said. “New Mexico has provided hundreds of millions of dollars in small business grants, loans, and tax holidays, assistance I am glad to now expand with LEDA recovery grants. The state will continue to deliver support for New Mexicans as we move forward, both now and in the future."</w:t>
                                                </w:r>
                                              </w:p>
                                              <w:p w14:paraId="0E727433"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 xml:space="preserve">The funds are intended to encourage job growth. Eligible businesses must have at least one employee, and no more than 75 employees, in any one location, be operating in New Mexico on or before Oct. 1, 2019, be current on all state and local tax obligations, and have experienced a decline in business </w:t>
                                                </w:r>
                                                <w:r w:rsidRPr="005545C4">
                                                  <w:rPr>
                                                    <w:rFonts w:ascii="Arial" w:hAnsi="Arial" w:cs="Arial"/>
                                                    <w:color w:val="0D0D0D"/>
                                                    <w:szCs w:val="24"/>
                                                  </w:rPr>
                                                  <w:lastRenderedPageBreak/>
                                                  <w:t>revenue between taxable years 2019 and 2020. No business sector is excluded from the funding. Nonprofit organizations are also eligible to apply.</w:t>
                                                </w:r>
                                              </w:p>
                                              <w:p w14:paraId="59FF242A"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“Thanks to Gov. Lujan Grisham and our Legislative leadership for dedicating this critical funding to business recovery and job creation,” Economic Development Department Cabinet Secretary Alicia J. Keyes said. “I encourage all businesses who suffered a revenue decline last year to submit an application and see if they will qualify for this grant money.”</w:t>
                                                </w:r>
                                              </w:p>
                                              <w:p w14:paraId="2BF71F6B"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Awards of up to $100,000 are based upon the number of new full-time equivalent (FTE) employees added on or after April 1, 2021. Award amounts are also based upon the percentage of revenue loss from one or more quarters in 2019 as compared to the same period in 2020 and the average wages to be paid to the new FTE.</w:t>
                                                </w:r>
                                              </w:p>
                                              <w:p w14:paraId="54873B06"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Expenses that can be covered by grant funds are rent, mortgage, or lease payments on the building occupied by the business. Grant applications are prioritized based on the severity of economic decline experienced by the business. Funds are paid quarterly subject to employment information submitted by the recipient.</w:t>
                                                </w:r>
                                              </w:p>
                                              <w:p w14:paraId="340EFB91"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Applicants may submit one application per business location and can check the status of their applications online. Awards are expected to be made in early July.</w:t>
                                                </w:r>
                                              </w:p>
                                              <w:p w14:paraId="4A4AACB0"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 xml:space="preserve">Applications are being processed by the New Mexico Finance Authority. Application, program guidelines, and additional information can be found </w:t>
                                                </w:r>
                                                <w:hyperlink r:id="rId10" w:tgtFrame="_blank" w:history="1">
                                                  <w:r w:rsidRPr="005545C4">
                                                    <w:rPr>
                                                      <w:rStyle w:val="Hyperlink"/>
                                                      <w:rFonts w:ascii="Arial" w:hAnsi="Arial" w:cs="Arial"/>
                                                      <w:color w:val="0666CC"/>
                                                      <w:szCs w:val="24"/>
                                                    </w:rPr>
                                                    <w:t>here</w:t>
                                                  </w:r>
                                                </w:hyperlink>
                                                <w:r w:rsidRPr="005545C4">
                                                  <w:rPr>
                                                    <w:rFonts w:ascii="Arial" w:hAnsi="Arial" w:cs="Arial"/>
                                                    <w:color w:val="0D0D0D"/>
                                                    <w:szCs w:val="24"/>
                                                  </w:rPr>
                                                  <w:t>.</w:t>
                                                </w:r>
                                              </w:p>
                                              <w:p w14:paraId="1635312E"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 xml:space="preserve">Watch the </w:t>
                                                </w:r>
                                                <w:hyperlink r:id="rId11" w:tgtFrame="_blank" w:history="1">
                                                  <w:r w:rsidRPr="005545C4">
                                                    <w:rPr>
                                                      <w:rStyle w:val="Hyperlink"/>
                                                      <w:rFonts w:ascii="Arial" w:hAnsi="Arial" w:cs="Arial"/>
                                                      <w:color w:val="0666CC"/>
                                                      <w:szCs w:val="24"/>
                                                    </w:rPr>
                                                    <w:t>previously recorded webinar</w:t>
                                                  </w:r>
                                                </w:hyperlink>
                                                <w:r w:rsidRPr="005545C4">
                                                  <w:rPr>
                                                    <w:rFonts w:ascii="Arial" w:hAnsi="Arial" w:cs="Arial"/>
                                                    <w:color w:val="0D0D0D"/>
                                                    <w:szCs w:val="24"/>
                                                  </w:rPr>
                                                  <w:t xml:space="preserve"> on the LEDA Recovery Grants.</w:t>
                                                </w:r>
                                              </w:p>
                                              <w:p w14:paraId="20E02F83" w14:textId="77777777" w:rsidR="005545C4" w:rsidRPr="005545C4" w:rsidRDefault="005545C4" w:rsidP="005545C4">
                                                <w:pPr>
                                                  <w:spacing w:line="240" w:lineRule="auto"/>
                                                  <w:rPr>
                                                    <w:rFonts w:ascii="Arial" w:hAnsi="Arial" w:cs="Arial"/>
                                                    <w:color w:val="0D0D0D"/>
                                                    <w:szCs w:val="24"/>
                                                  </w:rPr>
                                                </w:pPr>
                                                <w:r w:rsidRPr="005545C4">
                                                  <w:rPr>
                                                    <w:rFonts w:ascii="Arial" w:hAnsi="Arial" w:cs="Arial"/>
                                                    <w:color w:val="0D0D0D"/>
                                                    <w:szCs w:val="24"/>
                                                  </w:rPr>
                                                  <w:t xml:space="preserve">Prospective applicants can submit questions via email at </w:t>
                                                </w:r>
                                                <w:hyperlink r:id="rId12" w:tgtFrame="_blank" w:history="1">
                                                  <w:r w:rsidRPr="005545C4">
                                                    <w:rPr>
                                                      <w:rStyle w:val="Hyperlink"/>
                                                      <w:rFonts w:ascii="Arial" w:hAnsi="Arial" w:cs="Arial"/>
                                                      <w:color w:val="0666CC"/>
                                                      <w:szCs w:val="24"/>
                                                    </w:rPr>
                                                    <w:t xml:space="preserve">LEDA@nmfa.net </w:t>
                                                  </w:r>
                                                </w:hyperlink>
                                                <w:r w:rsidRPr="005545C4">
                                                  <w:rPr>
                                                    <w:rFonts w:ascii="Arial" w:hAnsi="Arial" w:cs="Arial"/>
                                                    <w:color w:val="0D0D0D"/>
                                                    <w:szCs w:val="24"/>
                                                  </w:rPr>
                                                  <w:t>or by calling 505.992.9696.</w:t>
                                                </w:r>
                                              </w:p>
                                              <w:p w14:paraId="29855EEC" w14:textId="77777777" w:rsidR="005545C4" w:rsidRPr="005545C4" w:rsidRDefault="005545C4" w:rsidP="005545C4">
                                                <w:pPr>
                                                  <w:spacing w:line="240" w:lineRule="auto"/>
                                                  <w:rPr>
                                                    <w:rFonts w:ascii="Arial" w:hAnsi="Arial" w:cs="Arial"/>
                                                    <w:b/>
                                                    <w:bCs/>
                                                    <w:color w:val="0D0D0D"/>
                                                    <w:szCs w:val="24"/>
                                                  </w:rPr>
                                                </w:pPr>
                                                <w:r w:rsidRPr="005545C4">
                                                  <w:rPr>
                                                    <w:rFonts w:ascii="Arial" w:hAnsi="Arial" w:cs="Arial"/>
                                                    <w:b/>
                                                    <w:bCs/>
                                                    <w:color w:val="0D0D0D"/>
                                                    <w:szCs w:val="24"/>
                                                  </w:rPr>
                                                  <w:t>Additional Help For Veteran-Owned Businesses Provided by the New Mexico Veterans Business Outreach Center</w:t>
                                                </w:r>
                                              </w:p>
                                              <w:p w14:paraId="7C97504F" w14:textId="77777777" w:rsidR="005545C4" w:rsidRPr="005545C4" w:rsidRDefault="005545C4" w:rsidP="005545C4">
                                                <w:pPr>
                                                  <w:pStyle w:val="NoSpacing"/>
                                                  <w:rPr>
                                                    <w:rFonts w:ascii="Arial" w:hAnsi="Arial" w:cs="Arial"/>
                                                    <w:szCs w:val="24"/>
                                                  </w:rPr>
                                                </w:pPr>
                                                <w:r w:rsidRPr="005545C4">
                                                  <w:rPr>
                                                    <w:rFonts w:ascii="Arial" w:hAnsi="Arial" w:cs="Arial"/>
                                                  </w:rPr>
                                                  <w:t xml:space="preserve">Veterans, transitioning active-duty personnel, and spouses seeking to start or expand a small business can also get assistance by contacting the New Mexico Veterans Business Outreach Center (VBOC)—the business development division of the New Mexico Department of Veterans Services. </w:t>
                                                </w:r>
                                              </w:p>
                                              <w:p w14:paraId="53F0D8F7" w14:textId="77777777" w:rsidR="005545C4" w:rsidRPr="005545C4" w:rsidRDefault="005545C4" w:rsidP="005545C4">
                                                <w:pPr>
                                                  <w:pStyle w:val="NoSpacing"/>
                                                  <w:rPr>
                                                    <w:rFonts w:ascii="Arial" w:hAnsi="Arial" w:cs="Arial"/>
                                                  </w:rPr>
                                                </w:pPr>
                                              </w:p>
                                              <w:p w14:paraId="5B7F5A49" w14:textId="7B2E8A59" w:rsidR="005545C4" w:rsidRPr="005545C4" w:rsidRDefault="005545C4" w:rsidP="005545C4">
                                                <w:pPr>
                                                  <w:pStyle w:val="NoSpacing"/>
                                                  <w:rPr>
                                                    <w:rFonts w:ascii="Arial" w:hAnsi="Arial" w:cs="Arial"/>
                                                  </w:rPr>
                                                </w:pPr>
                                                <w:r w:rsidRPr="005545C4">
                                                  <w:rPr>
                                                    <w:rFonts w:ascii="Arial" w:hAnsi="Arial" w:cs="Arial"/>
                                                  </w:rPr>
                                                  <w:t xml:space="preserve">The VBOC is a “one-stop-shop” for entrepreneurial-minded members of New Mexico’s military community. Please contact VBOC Director Rich Coffel at </w:t>
                                                </w:r>
                                                <w:hyperlink r:id="rId13" w:history="1">
                                                  <w:r w:rsidRPr="005545C4">
                                                    <w:rPr>
                                                      <w:rStyle w:val="Hyperlink"/>
                                                      <w:rFonts w:ascii="Arial" w:hAnsi="Arial" w:cs="Arial"/>
                                                    </w:rPr>
                                                    <w:t>richardL.coffel@state.nm.us</w:t>
                                                  </w:r>
                                                </w:hyperlink>
                                                <w:r w:rsidRPr="005545C4">
                                                  <w:rPr>
                                                    <w:rFonts w:ascii="Arial" w:hAnsi="Arial" w:cs="Arial"/>
                                                  </w:rPr>
                                                  <w:t xml:space="preserve"> or (505) 220-9932.</w:t>
                                                </w:r>
                                              </w:p>
                                            </w:tc>
                                          </w:tr>
                                        </w:tbl>
                                        <w:p w14:paraId="014997A3" w14:textId="77777777" w:rsidR="005545C4" w:rsidRPr="005545C4" w:rsidRDefault="005545C4" w:rsidP="005545C4">
                                          <w:pPr>
                                            <w:spacing w:line="240" w:lineRule="auto"/>
                                            <w:rPr>
                                              <w:rFonts w:ascii="Arial" w:eastAsia="Times New Roman" w:hAnsi="Arial" w:cs="Arial"/>
                                              <w:sz w:val="20"/>
                                              <w:szCs w:val="20"/>
                                            </w:rPr>
                                          </w:pPr>
                                        </w:p>
                                      </w:tc>
                                    </w:tr>
                                  </w:tbl>
                                  <w:p w14:paraId="782583CF" w14:textId="77777777" w:rsidR="005545C4" w:rsidRPr="005545C4" w:rsidRDefault="005545C4" w:rsidP="005545C4">
                                    <w:pPr>
                                      <w:spacing w:line="240" w:lineRule="auto"/>
                                      <w:jc w:val="center"/>
                                      <w:rPr>
                                        <w:rFonts w:ascii="Arial" w:hAnsi="Arial" w:cs="Arial"/>
                                        <w:sz w:val="22"/>
                                      </w:rPr>
                                    </w:pPr>
                                  </w:p>
                                  <w:p w14:paraId="523EA5D7" w14:textId="77777777" w:rsidR="005545C4" w:rsidRPr="005545C4" w:rsidRDefault="005545C4" w:rsidP="005545C4">
                                    <w:pPr>
                                      <w:spacing w:line="240" w:lineRule="auto"/>
                                      <w:jc w:val="center"/>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9012"/>
                                    </w:tblGrid>
                                    <w:tr w:rsidR="005545C4" w:rsidRPr="005545C4" w14:paraId="4523D4A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12"/>
                                          </w:tblGrid>
                                          <w:tr w:rsidR="005545C4" w:rsidRPr="005545C4" w14:paraId="2535C07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12"/>
                                                </w:tblGrid>
                                                <w:tr w:rsidR="005545C4" w:rsidRPr="005545C4" w14:paraId="1CF962D7" w14:textId="77777777">
                                                  <w:trPr>
                                                    <w:trHeight w:val="15"/>
                                                    <w:jc w:val="center"/>
                                                  </w:trPr>
                                                  <w:tc>
                                                    <w:tcPr>
                                                      <w:tcW w:w="5000" w:type="pct"/>
                                                      <w:tcMar>
                                                        <w:top w:w="0" w:type="dxa"/>
                                                        <w:left w:w="0" w:type="dxa"/>
                                                        <w:bottom w:w="150" w:type="dxa"/>
                                                        <w:right w:w="0" w:type="dxa"/>
                                                      </w:tcMar>
                                                      <w:hideMark/>
                                                    </w:tcPr>
                                                    <w:p w14:paraId="486D1CDF" w14:textId="44911A30" w:rsidR="005545C4" w:rsidRPr="005545C4" w:rsidRDefault="005545C4">
                                                      <w:pPr>
                                                        <w:spacing w:line="15" w:lineRule="atLeast"/>
                                                        <w:jc w:val="center"/>
                                                        <w:rPr>
                                                          <w:rFonts w:ascii="Arial" w:hAnsi="Arial" w:cs="Arial"/>
                                                        </w:rPr>
                                                      </w:pPr>
                                                      <w:r w:rsidRPr="005545C4">
                                                        <w:rPr>
                                                          <w:rFonts w:ascii="Arial" w:hAnsi="Arial" w:cs="Arial"/>
                                                          <w:noProof/>
                                                        </w:rPr>
                                                        <w:drawing>
                                                          <wp:inline distT="0" distB="0" distL="0" distR="0" wp14:anchorId="48248C59" wp14:editId="2FCC1D69">
                                                            <wp:extent cx="45720"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651A50E" w14:textId="77777777" w:rsidR="005545C4" w:rsidRPr="005545C4" w:rsidRDefault="005545C4">
                                                <w:pPr>
                                                  <w:jc w:val="center"/>
                                                  <w:rPr>
                                                    <w:rFonts w:ascii="Arial" w:eastAsia="Times New Roman" w:hAnsi="Arial" w:cs="Arial"/>
                                                    <w:sz w:val="20"/>
                                                    <w:szCs w:val="20"/>
                                                  </w:rPr>
                                                </w:pPr>
                                              </w:p>
                                            </w:tc>
                                          </w:tr>
                                        </w:tbl>
                                        <w:p w14:paraId="1A2629F1" w14:textId="77777777" w:rsidR="005545C4" w:rsidRPr="005545C4" w:rsidRDefault="005545C4">
                                          <w:pPr>
                                            <w:rPr>
                                              <w:rFonts w:ascii="Arial" w:eastAsia="Times New Roman" w:hAnsi="Arial" w:cs="Arial"/>
                                              <w:sz w:val="20"/>
                                              <w:szCs w:val="20"/>
                                            </w:rPr>
                                          </w:pPr>
                                        </w:p>
                                      </w:tc>
                                    </w:tr>
                                  </w:tbl>
                                  <w:p w14:paraId="0AA2A753" w14:textId="77777777" w:rsidR="005545C4" w:rsidRPr="005545C4" w:rsidRDefault="005545C4">
                                    <w:pPr>
                                      <w:jc w:val="center"/>
                                      <w:rPr>
                                        <w:rFonts w:ascii="Arial" w:hAnsi="Arial" w:cs="Arial"/>
                                        <w:szCs w:val="24"/>
                                      </w:rPr>
                                    </w:pPr>
                                  </w:p>
                                </w:tc>
                              </w:tr>
                            </w:tbl>
                            <w:p w14:paraId="36C664AB" w14:textId="77777777" w:rsidR="005545C4" w:rsidRPr="005545C4" w:rsidRDefault="005545C4">
                              <w:pPr>
                                <w:jc w:val="center"/>
                                <w:rPr>
                                  <w:rFonts w:ascii="Arial" w:eastAsia="Times New Roman" w:hAnsi="Arial" w:cs="Arial"/>
                                  <w:sz w:val="20"/>
                                  <w:szCs w:val="20"/>
                                </w:rPr>
                              </w:pPr>
                            </w:p>
                          </w:tc>
                        </w:tr>
                      </w:tbl>
                      <w:p w14:paraId="443B8238" w14:textId="77777777" w:rsidR="005545C4" w:rsidRPr="005545C4" w:rsidRDefault="005545C4">
                        <w:pPr>
                          <w:jc w:val="center"/>
                          <w:rPr>
                            <w:rFonts w:ascii="Arial" w:eastAsia="Times New Roman" w:hAnsi="Arial" w:cs="Arial"/>
                            <w:sz w:val="20"/>
                            <w:szCs w:val="20"/>
                          </w:rPr>
                        </w:pPr>
                      </w:p>
                    </w:tc>
                  </w:tr>
                </w:tbl>
                <w:p w14:paraId="19986A67" w14:textId="77777777" w:rsidR="005545C4" w:rsidRPr="005545C4" w:rsidRDefault="005545C4">
                  <w:pPr>
                    <w:jc w:val="center"/>
                    <w:rPr>
                      <w:rFonts w:ascii="Arial" w:eastAsia="Times New Roman" w:hAnsi="Arial" w:cs="Arial"/>
                      <w:sz w:val="20"/>
                      <w:szCs w:val="20"/>
                    </w:rPr>
                  </w:pPr>
                </w:p>
              </w:tc>
            </w:tr>
          </w:tbl>
          <w:p w14:paraId="58A55CBD" w14:textId="77777777" w:rsidR="005545C4" w:rsidRPr="005545C4" w:rsidRDefault="005545C4">
            <w:pPr>
              <w:jc w:val="center"/>
              <w:rPr>
                <w:rFonts w:ascii="Arial" w:eastAsia="Times New Roman" w:hAnsi="Arial" w:cs="Arial"/>
                <w:sz w:val="20"/>
                <w:szCs w:val="20"/>
              </w:rPr>
            </w:pPr>
          </w:p>
        </w:tc>
      </w:tr>
    </w:tbl>
    <w:p w14:paraId="6A07A508" w14:textId="77777777" w:rsidR="005545C4" w:rsidRPr="005545C4" w:rsidRDefault="005545C4" w:rsidP="005545C4">
      <w:pPr>
        <w:spacing w:line="200" w:lineRule="atLeast"/>
        <w:rPr>
          <w:rFonts w:ascii="Arial" w:hAnsi="Arial" w:cs="Arial"/>
          <w:spacing w:val="-2"/>
          <w:szCs w:val="24"/>
        </w:rPr>
      </w:pPr>
    </w:p>
    <w:p w14:paraId="45ECB9FC" w14:textId="17BA371C" w:rsidR="005545C4" w:rsidRPr="005545C4" w:rsidRDefault="005545C4" w:rsidP="005545C4">
      <w:pPr>
        <w:spacing w:line="200" w:lineRule="atLeast"/>
        <w:rPr>
          <w:rFonts w:ascii="Arial" w:hAnsi="Arial" w:cs="Arial"/>
          <w:spacing w:val="-2"/>
          <w:szCs w:val="24"/>
        </w:rPr>
      </w:pPr>
    </w:p>
    <w:p w14:paraId="25A7C8DF" w14:textId="77777777" w:rsidR="005545C4" w:rsidRPr="005545C4" w:rsidRDefault="005545C4" w:rsidP="005545C4">
      <w:pPr>
        <w:spacing w:line="200" w:lineRule="atLeast"/>
        <w:jc w:val="center"/>
        <w:rPr>
          <w:rFonts w:ascii="Arial" w:hAnsi="Arial" w:cs="Arial"/>
          <w:spacing w:val="-2"/>
          <w:szCs w:val="24"/>
        </w:rPr>
      </w:pPr>
    </w:p>
    <w:sectPr w:rsidR="005545C4" w:rsidRPr="0055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45C4"/>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766927926">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gOBu3zgsBvN_KFdN3u6QHZvNRioN2zWWxYBFeRxWgYP2jCGS3dIT50odkMnGFazF9qGtxFkHRDzTWdwxcZvaUvAnn8OFVGwc1Ch6NaOYejDwOITaIWWaS8Yq09TSUaXAiXPuQejT08=&amp;c=jDUz8LGELFR5QAAokunhpSyUHo7ZwI96VSudxYCYxM95aFRw1mPxjg==&amp;ch=J3bv9vCuGAAQCriu3OappSvDYtaK9l642LTDZ-IaH3_reXlAy6C03w==&amp;jrc=1" TargetMode="External"/><Relationship Id="rId13" Type="http://schemas.openxmlformats.org/officeDocument/2006/relationships/hyperlink" Target="mailto:richardL.coffel@state.nm.u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EDA@nmf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png@01D747DA.DEF50080" TargetMode="External"/><Relationship Id="rId11" Type="http://schemas.openxmlformats.org/officeDocument/2006/relationships/hyperlink" Target="http://r20.rs6.net/tn.jsp?f=001VgOBu3zgsBvN_KFdN3u6QHZvNRioN2zWWxYBFeRxWgYP2jCGS3dIT5b7Tim84G2LQ0vbjDA-IS7w9yt0NE5QX__LGCqHGzyLMCXWk2J2j1EvGNES0RbbNkoBJf7bbIvgOeddBTQdVqYfKa9_57n8VA==&amp;c=jDUz8LGELFR5QAAokunhpSyUHo7ZwI96VSudxYCYxM95aFRw1mPxjg==&amp;ch=J3bv9vCuGAAQCriu3OappSvDYtaK9l642LTDZ-IaH3_reXlAy6C03w==&amp;jrc=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r20.rs6.net/tn.jsp?f=001VgOBu3zgsBvN_KFdN3u6QHZvNRioN2zWWxYBFeRxWgYP2jCGS3dIT0wTWfVm4wKQYSOwXYMtpfoXWRI3ns9rJGeKjzzztfWr_x0Mfp-W2QhOGbar-HGA1J0E-nzx7yrp07UWiL0AedPIMS4B9HLhXnCBgeCi6IPBWHYL3Ce5tVK0kbZfDhVLEg==&amp;c=jDUz8LGELFR5QAAokunhpSyUHo7ZwI96VSudxYCYxM95aFRw1mPxjg==&amp;ch=J3bv9vCuGAAQCriu3OappSvDYtaK9l642LTDZ-IaH3_reXlAy6C03w==&amp;jrc=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2021-05-13T15:36:00Z</dcterms:created>
  <dcterms:modified xsi:type="dcterms:W3CDTF">2021-05-13T15:36:00Z</dcterms:modified>
</cp:coreProperties>
</file>