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144701" w:rsidRDefault="002B63D4"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 xml:space="preserve">Michelle Lujan Grisham                                                                                                </w:t>
      </w:r>
      <w:r w:rsidRPr="00144701">
        <w:rPr>
          <w:rFonts w:ascii="Arial" w:eastAsiaTheme="minorEastAsia" w:hAnsi="Arial" w:cs="Arial"/>
          <w:i/>
          <w:iCs/>
          <w:noProof/>
          <w:spacing w:val="-2"/>
          <w:szCs w:val="24"/>
        </w:rPr>
        <w:t>Governor</w:t>
      </w:r>
    </w:p>
    <w:p w14:paraId="76C2D735" w14:textId="446DA5FA" w:rsidR="002B63D4" w:rsidRPr="00144701" w:rsidRDefault="00D44627" w:rsidP="002B63D4">
      <w:pPr>
        <w:spacing w:line="200" w:lineRule="atLeast"/>
        <w:jc w:val="center"/>
        <w:rPr>
          <w:rFonts w:ascii="Arial" w:eastAsiaTheme="minorEastAsia" w:hAnsi="Arial" w:cs="Arial"/>
          <w:i/>
          <w:iCs/>
          <w:noProof/>
          <w:spacing w:val="-2"/>
          <w:szCs w:val="24"/>
        </w:rPr>
      </w:pPr>
      <w:r w:rsidRPr="00144701">
        <w:rPr>
          <w:rFonts w:ascii="Arial" w:eastAsiaTheme="minorEastAsia" w:hAnsi="Arial" w:cs="Arial"/>
          <w:b/>
          <w:bCs/>
          <w:noProof/>
          <w:spacing w:val="-2"/>
          <w:szCs w:val="24"/>
        </w:rPr>
        <w:t>Sonya L. Smith</w:t>
      </w:r>
      <w:r w:rsidR="002B63D4" w:rsidRPr="00144701">
        <w:rPr>
          <w:rFonts w:ascii="Arial" w:eastAsiaTheme="minorEastAsia" w:hAnsi="Arial" w:cs="Arial"/>
          <w:b/>
          <w:bCs/>
          <w:noProof/>
          <w:spacing w:val="-2"/>
          <w:szCs w:val="24"/>
        </w:rPr>
        <w:t xml:space="preserve">                                                                                                             </w:t>
      </w:r>
      <w:r w:rsidR="002B63D4" w:rsidRPr="00144701">
        <w:rPr>
          <w:rFonts w:ascii="Arial" w:eastAsiaTheme="minorEastAsia" w:hAnsi="Arial" w:cs="Arial"/>
          <w:i/>
          <w:iCs/>
          <w:noProof/>
          <w:spacing w:val="-2"/>
          <w:szCs w:val="24"/>
        </w:rPr>
        <w:t>Cabinet Secretary</w:t>
      </w:r>
    </w:p>
    <w:p w14:paraId="2BC71539" w14:textId="77777777" w:rsidR="000D58E0" w:rsidRPr="00144701" w:rsidRDefault="000D58E0" w:rsidP="006F4DA5">
      <w:pPr>
        <w:pStyle w:val="NoSpacing"/>
        <w:rPr>
          <w:rFonts w:ascii="Arial" w:hAnsi="Arial" w:cs="Arial"/>
        </w:rPr>
      </w:pPr>
    </w:p>
    <w:p w14:paraId="0F86070C" w14:textId="77777777" w:rsidR="002B63D4" w:rsidRPr="00144701" w:rsidRDefault="002B63D4" w:rsidP="002B63D4">
      <w:pPr>
        <w:rPr>
          <w:rFonts w:ascii="Arial" w:hAnsi="Arial" w:cs="Arial"/>
          <w:szCs w:val="24"/>
        </w:rPr>
      </w:pPr>
    </w:p>
    <w:p w14:paraId="23C91AF2" w14:textId="77777777" w:rsidR="009575EE" w:rsidRPr="00144701" w:rsidRDefault="009575EE" w:rsidP="009575EE">
      <w:pPr>
        <w:pStyle w:val="NoSpacing"/>
        <w:rPr>
          <w:rFonts w:ascii="Arial" w:hAnsi="Arial" w:cs="Arial"/>
          <w:b/>
          <w:noProof/>
        </w:rPr>
      </w:pPr>
      <w:r w:rsidRPr="00144701">
        <w:rPr>
          <w:rFonts w:ascii="Arial" w:hAnsi="Arial" w:cs="Arial"/>
          <w:b/>
          <w:noProof/>
        </w:rPr>
        <w:t>F</w:t>
      </w:r>
      <w:bookmarkStart w:id="0" w:name="_GoBack"/>
      <w:r w:rsidRPr="00144701">
        <w:rPr>
          <w:rFonts w:ascii="Arial" w:hAnsi="Arial" w:cs="Arial"/>
          <w:b/>
          <w:noProof/>
        </w:rPr>
        <w:t>OR IMMEDIATE RELEASE</w:t>
      </w:r>
    </w:p>
    <w:p w14:paraId="751B899B" w14:textId="77777777" w:rsidR="009575EE" w:rsidRPr="00144701" w:rsidRDefault="009575EE" w:rsidP="009575EE">
      <w:pPr>
        <w:pStyle w:val="NoSpacing"/>
        <w:rPr>
          <w:rFonts w:ascii="Arial" w:hAnsi="Arial" w:cs="Arial"/>
          <w:noProof/>
        </w:rPr>
      </w:pPr>
      <w:r w:rsidRPr="00144701">
        <w:rPr>
          <w:rFonts w:ascii="Arial" w:hAnsi="Arial" w:cs="Arial"/>
          <w:noProof/>
        </w:rPr>
        <w:t>Contact: Ray Seva</w:t>
      </w:r>
    </w:p>
    <w:p w14:paraId="3C7AFB64" w14:textId="77777777" w:rsidR="009575EE" w:rsidRPr="00144701" w:rsidRDefault="009575EE" w:rsidP="009575EE">
      <w:pPr>
        <w:pStyle w:val="NoSpacing"/>
        <w:rPr>
          <w:rFonts w:ascii="Arial" w:hAnsi="Arial" w:cs="Arial"/>
          <w:i/>
          <w:noProof/>
        </w:rPr>
      </w:pPr>
      <w:r w:rsidRPr="00144701">
        <w:rPr>
          <w:rFonts w:ascii="Arial" w:hAnsi="Arial" w:cs="Arial"/>
          <w:i/>
          <w:noProof/>
        </w:rPr>
        <w:t>Public Information Officer</w:t>
      </w:r>
    </w:p>
    <w:p w14:paraId="550AFD60" w14:textId="77777777" w:rsidR="005E43FA" w:rsidRPr="00144701" w:rsidRDefault="00D124EC" w:rsidP="009575EE">
      <w:pPr>
        <w:pStyle w:val="NoSpacing"/>
        <w:rPr>
          <w:rFonts w:ascii="Arial" w:hAnsi="Arial" w:cs="Arial"/>
          <w:noProof/>
        </w:rPr>
      </w:pPr>
      <w:hyperlink r:id="rId6" w:history="1">
        <w:r w:rsidR="005E43FA" w:rsidRPr="00144701">
          <w:rPr>
            <w:rStyle w:val="Hyperlink"/>
            <w:rFonts w:ascii="Arial" w:hAnsi="Arial" w:cs="Arial"/>
            <w:noProof/>
          </w:rPr>
          <w:t>ray.seva@state.nm.us</w:t>
        </w:r>
      </w:hyperlink>
    </w:p>
    <w:p w14:paraId="21A721BF" w14:textId="6370AD5D" w:rsidR="005E43FA" w:rsidRPr="00144701" w:rsidRDefault="005E43FA" w:rsidP="009575EE">
      <w:pPr>
        <w:pStyle w:val="NoSpacing"/>
        <w:rPr>
          <w:rFonts w:ascii="Arial" w:hAnsi="Arial" w:cs="Arial"/>
          <w:i/>
          <w:noProof/>
        </w:rPr>
      </w:pPr>
      <w:r w:rsidRPr="00144701">
        <w:rPr>
          <w:rFonts w:ascii="Arial" w:hAnsi="Arial" w:cs="Arial"/>
          <w:noProof/>
        </w:rPr>
        <w:t xml:space="preserve">(505) 362-6089 </w:t>
      </w:r>
    </w:p>
    <w:p w14:paraId="23C65602" w14:textId="01CF973D" w:rsidR="009575EE" w:rsidRDefault="009575EE" w:rsidP="009575EE">
      <w:pPr>
        <w:rPr>
          <w:rFonts w:ascii="Arial" w:eastAsiaTheme="minorEastAsia" w:hAnsi="Arial" w:cs="Arial"/>
          <w:bCs/>
          <w:noProof/>
          <w:szCs w:val="24"/>
        </w:rPr>
      </w:pPr>
    </w:p>
    <w:p w14:paraId="13E9B3FD" w14:textId="685B6669" w:rsidR="00B278BE" w:rsidRDefault="00CE574A" w:rsidP="009575EE">
      <w:pPr>
        <w:rPr>
          <w:rFonts w:ascii="Arial" w:eastAsiaTheme="minorEastAsia" w:hAnsi="Arial" w:cs="Arial"/>
          <w:bCs/>
          <w:noProof/>
          <w:szCs w:val="24"/>
        </w:rPr>
      </w:pPr>
      <w:r w:rsidRPr="00CE574A">
        <w:rPr>
          <w:rFonts w:ascii="Arial" w:eastAsiaTheme="minorEastAsia" w:hAnsi="Arial" w:cs="Arial"/>
          <w:bCs/>
          <w:noProof/>
          <w:szCs w:val="24"/>
        </w:rPr>
        <w:t>March 31</w:t>
      </w:r>
      <w:r w:rsidR="00B278BE" w:rsidRPr="00CE574A">
        <w:rPr>
          <w:rFonts w:ascii="Arial" w:eastAsiaTheme="minorEastAsia" w:hAnsi="Arial" w:cs="Arial"/>
          <w:bCs/>
          <w:noProof/>
          <w:szCs w:val="24"/>
        </w:rPr>
        <w:t>, 2021</w:t>
      </w:r>
    </w:p>
    <w:p w14:paraId="36EC4FBF" w14:textId="77777777" w:rsidR="00B278BE" w:rsidRPr="00CE574A" w:rsidRDefault="00B278BE" w:rsidP="009575EE">
      <w:pPr>
        <w:rPr>
          <w:rFonts w:ascii="Arial" w:eastAsiaTheme="minorEastAsia" w:hAnsi="Arial" w:cs="Arial"/>
          <w:bCs/>
          <w:noProof/>
          <w:szCs w:val="24"/>
        </w:rPr>
      </w:pPr>
    </w:p>
    <w:tbl>
      <w:tblPr>
        <w:tblW w:w="5000" w:type="pct"/>
        <w:jc w:val="center"/>
        <w:tblCellMar>
          <w:left w:w="0" w:type="dxa"/>
          <w:right w:w="0" w:type="dxa"/>
        </w:tblCellMar>
        <w:tblLook w:val="04A0" w:firstRow="1" w:lastRow="0" w:firstColumn="1" w:lastColumn="0" w:noHBand="0" w:noVBand="1"/>
      </w:tblPr>
      <w:tblGrid>
        <w:gridCol w:w="9360"/>
      </w:tblGrid>
      <w:tr w:rsidR="00CE574A" w:rsidRPr="00CE574A" w14:paraId="3386D7B8" w14:textId="77777777" w:rsidTr="00CE574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E574A" w:rsidRPr="00CE574A" w14:paraId="1BED6C04" w14:textId="77777777">
              <w:tc>
                <w:tcPr>
                  <w:tcW w:w="0" w:type="auto"/>
                  <w:tcMar>
                    <w:top w:w="150" w:type="dxa"/>
                    <w:left w:w="300" w:type="dxa"/>
                    <w:bottom w:w="150" w:type="dxa"/>
                    <w:right w:w="300" w:type="dxa"/>
                  </w:tcMar>
                  <w:hideMark/>
                </w:tcPr>
                <w:p w14:paraId="1A5DCF7B" w14:textId="77777777" w:rsidR="00CE574A" w:rsidRPr="00CE574A" w:rsidRDefault="00CE574A">
                  <w:pPr>
                    <w:jc w:val="center"/>
                    <w:rPr>
                      <w:rFonts w:ascii="Arial" w:hAnsi="Arial" w:cs="Arial"/>
                      <w:b/>
                      <w:color w:val="464646"/>
                      <w:sz w:val="32"/>
                      <w:szCs w:val="32"/>
                    </w:rPr>
                  </w:pPr>
                  <w:r w:rsidRPr="00CE574A">
                    <w:rPr>
                      <w:rFonts w:ascii="Arial" w:hAnsi="Arial" w:cs="Arial"/>
                      <w:b/>
                      <w:bCs/>
                      <w:sz w:val="32"/>
                      <w:szCs w:val="32"/>
                    </w:rPr>
                    <w:t>PPP Forgivable Loan Program Extended to May 31</w:t>
                  </w:r>
                </w:p>
              </w:tc>
            </w:tr>
          </w:tbl>
          <w:p w14:paraId="7E55901E" w14:textId="77777777" w:rsidR="00CE574A" w:rsidRPr="00CE574A" w:rsidRDefault="00CE574A">
            <w:pPr>
              <w:rPr>
                <w:rFonts w:ascii="Arial" w:hAnsi="Arial" w:cs="Arial"/>
              </w:rPr>
            </w:pPr>
          </w:p>
        </w:tc>
      </w:tr>
    </w:tbl>
    <w:p w14:paraId="570E7B65" w14:textId="77777777" w:rsidR="00CE574A" w:rsidRPr="00CE574A" w:rsidRDefault="00CE574A" w:rsidP="00CE574A">
      <w:pPr>
        <w:pStyle w:val="NoSpacing"/>
        <w:rPr>
          <w:rFonts w:ascii="Arial" w:hAnsi="Arial" w:cs="Arial"/>
        </w:rPr>
      </w:pPr>
      <w:r w:rsidRPr="00CE574A">
        <w:rPr>
          <w:rFonts w:ascii="Arial" w:hAnsi="Arial" w:cs="Arial"/>
        </w:rPr>
        <w:t>The New Mexico Department of Veterans Services (DVS) Veterans Business Outreach Center and the U.S. Small Business Administration/New Mexico Office would like to alert veteran-owned business owners about a law signed yesterday by President Joe Biden extending the Paycheck Protection Program (PPP) forgivable loan program through May 31.</w:t>
      </w:r>
    </w:p>
    <w:p w14:paraId="61A0AB74" w14:textId="77777777" w:rsidR="00CE574A" w:rsidRPr="00CE574A" w:rsidRDefault="00CE574A" w:rsidP="00CE574A">
      <w:pPr>
        <w:pStyle w:val="NoSpacing"/>
        <w:rPr>
          <w:rFonts w:ascii="Arial" w:hAnsi="Arial" w:cs="Arial"/>
        </w:rPr>
      </w:pPr>
    </w:p>
    <w:p w14:paraId="6BDE7234" w14:textId="77777777" w:rsidR="00CE574A" w:rsidRPr="00CE574A" w:rsidRDefault="00CE574A" w:rsidP="00CE574A">
      <w:pPr>
        <w:pStyle w:val="NoSpacing"/>
        <w:rPr>
          <w:rFonts w:ascii="Arial" w:hAnsi="Arial" w:cs="Arial"/>
        </w:rPr>
      </w:pPr>
      <w:r w:rsidRPr="00CE574A">
        <w:rPr>
          <w:rFonts w:ascii="Arial" w:hAnsi="Arial" w:cs="Arial"/>
        </w:rPr>
        <w:t>Businesses, sole proprietors, self-employed business owners, and nonprofit organizations who would like to benefit from this extension should apply by May 15 in order to give participating lenders time to submit applications by the deadline.</w:t>
      </w:r>
    </w:p>
    <w:p w14:paraId="4FD038C4" w14:textId="77777777" w:rsidR="00CE574A" w:rsidRPr="00CE574A" w:rsidRDefault="00CE574A" w:rsidP="00CE574A">
      <w:pPr>
        <w:pStyle w:val="NoSpacing"/>
        <w:rPr>
          <w:rFonts w:ascii="Arial" w:hAnsi="Arial" w:cs="Arial"/>
        </w:rPr>
      </w:pPr>
    </w:p>
    <w:p w14:paraId="021E850F" w14:textId="77777777" w:rsidR="00CE574A" w:rsidRPr="00CE574A" w:rsidRDefault="00CE574A" w:rsidP="00CE574A">
      <w:pPr>
        <w:pStyle w:val="NoSpacing"/>
        <w:rPr>
          <w:rFonts w:ascii="Arial" w:hAnsi="Arial" w:cs="Arial"/>
        </w:rPr>
      </w:pPr>
      <w:r w:rsidRPr="00CE574A">
        <w:rPr>
          <w:rFonts w:ascii="Arial" w:hAnsi="Arial" w:cs="Arial"/>
        </w:rPr>
        <w:lastRenderedPageBreak/>
        <w:t>Sole proprietors and the self-employed who previously decided against applying because they deemed the award amount insufficient may find that the PPP has been adjusted and may now be able to fit their needs.</w:t>
      </w:r>
    </w:p>
    <w:p w14:paraId="67E3395C" w14:textId="77777777" w:rsidR="00CE574A" w:rsidRPr="00CE574A" w:rsidRDefault="00CE574A" w:rsidP="00CE574A">
      <w:pPr>
        <w:pStyle w:val="NoSpacing"/>
        <w:rPr>
          <w:rFonts w:ascii="Arial" w:hAnsi="Arial" w:cs="Arial"/>
          <w:szCs w:val="24"/>
        </w:rPr>
      </w:pPr>
    </w:p>
    <w:p w14:paraId="131C5F03" w14:textId="772C42A6" w:rsidR="00CE574A" w:rsidRPr="00CE574A" w:rsidRDefault="00CE574A" w:rsidP="00CE574A">
      <w:pPr>
        <w:pStyle w:val="NoSpacing"/>
        <w:rPr>
          <w:rFonts w:ascii="Arial" w:hAnsi="Arial" w:cs="Arial"/>
          <w:szCs w:val="24"/>
        </w:rPr>
      </w:pPr>
      <w:r w:rsidRPr="00CE574A">
        <w:rPr>
          <w:rFonts w:ascii="Arial" w:hAnsi="Arial" w:cs="Arial"/>
          <w:szCs w:val="24"/>
        </w:rPr>
        <w:t>Second-draw</w:t>
      </w:r>
      <w:r>
        <w:rPr>
          <w:rFonts w:ascii="Arial" w:hAnsi="Arial" w:cs="Arial"/>
          <w:szCs w:val="24"/>
        </w:rPr>
        <w:t>s</w:t>
      </w:r>
      <w:r w:rsidRPr="00CE574A">
        <w:rPr>
          <w:rFonts w:ascii="Arial" w:hAnsi="Arial" w:cs="Arial"/>
          <w:szCs w:val="24"/>
        </w:rPr>
        <w:t xml:space="preserve"> are still allowed, and the loan is </w:t>
      </w:r>
      <w:r w:rsidR="00D124EC" w:rsidRPr="00CE574A">
        <w:rPr>
          <w:rFonts w:ascii="Arial" w:hAnsi="Arial" w:cs="Arial"/>
          <w:szCs w:val="24"/>
        </w:rPr>
        <w:t>forgivable</w:t>
      </w:r>
      <w:r w:rsidRPr="00CE574A">
        <w:rPr>
          <w:rFonts w:ascii="Arial" w:hAnsi="Arial" w:cs="Arial"/>
          <w:szCs w:val="24"/>
        </w:rPr>
        <w:t xml:space="preserve"> under specific criteria.</w:t>
      </w:r>
    </w:p>
    <w:p w14:paraId="42759F60" w14:textId="77777777" w:rsidR="00CE574A" w:rsidRPr="00CE574A" w:rsidRDefault="00CE574A" w:rsidP="00CE574A">
      <w:pPr>
        <w:pStyle w:val="NoSpacing"/>
        <w:rPr>
          <w:rFonts w:ascii="Arial" w:hAnsi="Arial" w:cs="Arial"/>
          <w:szCs w:val="24"/>
        </w:rPr>
      </w:pPr>
    </w:p>
    <w:p w14:paraId="357002F0" w14:textId="77777777" w:rsidR="00CE574A" w:rsidRPr="00CE574A" w:rsidRDefault="00CE574A" w:rsidP="00CE574A">
      <w:pPr>
        <w:pStyle w:val="NoSpacing"/>
        <w:rPr>
          <w:rFonts w:ascii="Arial" w:hAnsi="Arial" w:cs="Arial"/>
          <w:szCs w:val="24"/>
        </w:rPr>
      </w:pPr>
      <w:r w:rsidRPr="00CE574A">
        <w:rPr>
          <w:rFonts w:ascii="Arial" w:hAnsi="Arial" w:cs="Arial"/>
          <w:szCs w:val="24"/>
        </w:rPr>
        <w:t>You may apply through your preferred financial institution, or through one of the lenders below:</w:t>
      </w:r>
    </w:p>
    <w:p w14:paraId="252D7B98" w14:textId="77777777" w:rsidR="00CE574A" w:rsidRPr="00CE574A" w:rsidRDefault="00CE574A" w:rsidP="00CE574A">
      <w:pPr>
        <w:pStyle w:val="NoSpacing"/>
        <w:rPr>
          <w:rFonts w:ascii="Arial" w:hAnsi="Arial" w:cs="Arial"/>
          <w:szCs w:val="24"/>
        </w:rPr>
      </w:pPr>
    </w:p>
    <w:p w14:paraId="5CEB37DB" w14:textId="77777777" w:rsidR="00CE574A" w:rsidRPr="00CE574A" w:rsidRDefault="00CE574A" w:rsidP="00CE574A">
      <w:pPr>
        <w:pStyle w:val="NoSpacing"/>
        <w:numPr>
          <w:ilvl w:val="0"/>
          <w:numId w:val="4"/>
        </w:numPr>
        <w:rPr>
          <w:rFonts w:ascii="Arial" w:hAnsi="Arial" w:cs="Arial"/>
          <w:szCs w:val="24"/>
        </w:rPr>
      </w:pPr>
      <w:r w:rsidRPr="00CE574A">
        <w:rPr>
          <w:rFonts w:ascii="Arial" w:hAnsi="Arial" w:cs="Arial"/>
          <w:szCs w:val="24"/>
        </w:rPr>
        <w:t>DreamSpring (</w:t>
      </w:r>
      <w:hyperlink r:id="rId7" w:history="1">
        <w:r w:rsidRPr="00CE574A">
          <w:rPr>
            <w:rStyle w:val="Hyperlink"/>
            <w:rFonts w:ascii="Arial" w:hAnsi="Arial" w:cs="Arial"/>
            <w:szCs w:val="24"/>
          </w:rPr>
          <w:t>https://www.dreamspring.org/</w:t>
        </w:r>
      </w:hyperlink>
      <w:r w:rsidRPr="00CE574A">
        <w:rPr>
          <w:rFonts w:ascii="Arial" w:hAnsi="Arial" w:cs="Arial"/>
          <w:szCs w:val="24"/>
        </w:rPr>
        <w:t>)</w:t>
      </w:r>
    </w:p>
    <w:p w14:paraId="46CAAAE5" w14:textId="77777777" w:rsidR="00CE574A" w:rsidRPr="00CE574A" w:rsidRDefault="00CE574A" w:rsidP="00CE574A">
      <w:pPr>
        <w:pStyle w:val="NoSpacing"/>
        <w:numPr>
          <w:ilvl w:val="1"/>
          <w:numId w:val="4"/>
        </w:numPr>
        <w:rPr>
          <w:rFonts w:ascii="Arial" w:hAnsi="Arial" w:cs="Arial"/>
          <w:szCs w:val="24"/>
        </w:rPr>
      </w:pPr>
      <w:r w:rsidRPr="00CE574A">
        <w:rPr>
          <w:rFonts w:ascii="Arial" w:hAnsi="Arial" w:cs="Arial"/>
          <w:szCs w:val="24"/>
        </w:rPr>
        <w:t>which serves all of New Mexico</w:t>
      </w:r>
    </w:p>
    <w:p w14:paraId="680AE0F7" w14:textId="77777777" w:rsidR="00CE574A" w:rsidRPr="00CE574A" w:rsidRDefault="00CE574A" w:rsidP="00CE574A">
      <w:pPr>
        <w:pStyle w:val="NoSpacing"/>
        <w:numPr>
          <w:ilvl w:val="0"/>
          <w:numId w:val="4"/>
        </w:numPr>
        <w:rPr>
          <w:rFonts w:ascii="Arial" w:hAnsi="Arial" w:cs="Arial"/>
          <w:szCs w:val="24"/>
        </w:rPr>
      </w:pPr>
      <w:r w:rsidRPr="00CE574A">
        <w:rPr>
          <w:rFonts w:ascii="Arial" w:hAnsi="Arial" w:cs="Arial"/>
          <w:szCs w:val="24"/>
        </w:rPr>
        <w:t>LiftFund (</w:t>
      </w:r>
      <w:hyperlink r:id="rId8" w:history="1">
        <w:r w:rsidRPr="00CE574A">
          <w:rPr>
            <w:rStyle w:val="Hyperlink"/>
            <w:rFonts w:ascii="Arial" w:hAnsi="Arial" w:cs="Arial"/>
            <w:szCs w:val="24"/>
          </w:rPr>
          <w:t>https://www.liftfund.com/ppp-2021-summary/?location=new-mexico</w:t>
        </w:r>
      </w:hyperlink>
      <w:r w:rsidRPr="00CE574A">
        <w:rPr>
          <w:rFonts w:ascii="Arial" w:hAnsi="Arial" w:cs="Arial"/>
          <w:szCs w:val="24"/>
        </w:rPr>
        <w:t>)</w:t>
      </w:r>
    </w:p>
    <w:p w14:paraId="04655267" w14:textId="77777777" w:rsidR="00CE574A" w:rsidRPr="00CE574A" w:rsidRDefault="00CE574A" w:rsidP="00CE574A">
      <w:pPr>
        <w:pStyle w:val="NoSpacing"/>
        <w:numPr>
          <w:ilvl w:val="1"/>
          <w:numId w:val="4"/>
        </w:numPr>
        <w:rPr>
          <w:rFonts w:ascii="Arial" w:hAnsi="Arial" w:cs="Arial"/>
          <w:szCs w:val="24"/>
        </w:rPr>
      </w:pPr>
      <w:r w:rsidRPr="00CE574A">
        <w:rPr>
          <w:rFonts w:ascii="Arial" w:hAnsi="Arial" w:cs="Arial"/>
          <w:szCs w:val="24"/>
        </w:rPr>
        <w:t>Serving southern New Mexico counties</w:t>
      </w:r>
    </w:p>
    <w:p w14:paraId="3E16F7C2" w14:textId="77777777" w:rsidR="00CE574A" w:rsidRPr="00CE574A" w:rsidRDefault="00CE574A" w:rsidP="00CE574A">
      <w:pPr>
        <w:pStyle w:val="NoSpacing"/>
        <w:numPr>
          <w:ilvl w:val="0"/>
          <w:numId w:val="4"/>
        </w:numPr>
        <w:rPr>
          <w:rFonts w:ascii="Arial" w:hAnsi="Arial" w:cs="Arial"/>
          <w:szCs w:val="24"/>
        </w:rPr>
      </w:pPr>
      <w:r w:rsidRPr="00CE574A">
        <w:rPr>
          <w:rFonts w:ascii="Arial" w:hAnsi="Arial" w:cs="Arial"/>
          <w:szCs w:val="24"/>
        </w:rPr>
        <w:t>RCAC (</w:t>
      </w:r>
      <w:hyperlink r:id="rId9" w:history="1">
        <w:r w:rsidRPr="00CE574A">
          <w:rPr>
            <w:rStyle w:val="Hyperlink"/>
            <w:rFonts w:ascii="Arial" w:hAnsi="Arial" w:cs="Arial"/>
            <w:szCs w:val="24"/>
          </w:rPr>
          <w:t>https://www.rcac.org/lending/paycheck-protection-program-ppp/</w:t>
        </w:r>
      </w:hyperlink>
      <w:r w:rsidRPr="00CE574A">
        <w:rPr>
          <w:rFonts w:ascii="Arial" w:hAnsi="Arial" w:cs="Arial"/>
          <w:szCs w:val="24"/>
        </w:rPr>
        <w:t>)</w:t>
      </w:r>
    </w:p>
    <w:p w14:paraId="122BAC1D" w14:textId="77777777" w:rsidR="00CE574A" w:rsidRPr="00CE574A" w:rsidRDefault="00CE574A" w:rsidP="00CE574A">
      <w:pPr>
        <w:pStyle w:val="NoSpacing"/>
        <w:numPr>
          <w:ilvl w:val="1"/>
          <w:numId w:val="4"/>
        </w:numPr>
        <w:rPr>
          <w:rFonts w:ascii="Arial" w:hAnsi="Arial" w:cs="Arial"/>
          <w:szCs w:val="24"/>
        </w:rPr>
      </w:pPr>
      <w:r w:rsidRPr="00CE574A">
        <w:rPr>
          <w:rFonts w:ascii="Arial" w:hAnsi="Arial" w:cs="Arial"/>
          <w:szCs w:val="24"/>
        </w:rPr>
        <w:t>Serving rural communities with a population under 50,000</w:t>
      </w:r>
    </w:p>
    <w:p w14:paraId="307697D2" w14:textId="77777777" w:rsidR="00CE574A" w:rsidRPr="00CE574A" w:rsidRDefault="00CE574A" w:rsidP="00CE574A">
      <w:pPr>
        <w:pStyle w:val="NoSpacing"/>
        <w:numPr>
          <w:ilvl w:val="0"/>
          <w:numId w:val="4"/>
        </w:numPr>
        <w:rPr>
          <w:rFonts w:ascii="Arial" w:hAnsi="Arial" w:cs="Arial"/>
          <w:szCs w:val="24"/>
        </w:rPr>
      </w:pPr>
      <w:r w:rsidRPr="00CE574A">
        <w:rPr>
          <w:rFonts w:ascii="Arial" w:hAnsi="Arial" w:cs="Arial"/>
          <w:szCs w:val="24"/>
        </w:rPr>
        <w:t>Century Bank (</w:t>
      </w:r>
      <w:hyperlink r:id="rId10" w:history="1">
        <w:r w:rsidRPr="00CE574A">
          <w:rPr>
            <w:rStyle w:val="Hyperlink"/>
            <w:rFonts w:ascii="Arial" w:hAnsi="Arial" w:cs="Arial"/>
            <w:szCs w:val="24"/>
          </w:rPr>
          <w:t>https://www.mycenturybank.com/covid-19-relief-business</w:t>
        </w:r>
      </w:hyperlink>
      <w:r w:rsidRPr="00CE574A">
        <w:rPr>
          <w:rFonts w:ascii="Arial" w:hAnsi="Arial" w:cs="Arial"/>
          <w:szCs w:val="24"/>
        </w:rPr>
        <w:t>)</w:t>
      </w:r>
    </w:p>
    <w:p w14:paraId="50AB3179" w14:textId="1A3BFEAC" w:rsidR="00CE574A" w:rsidRPr="00CE574A" w:rsidRDefault="00CE574A" w:rsidP="00CE574A">
      <w:pPr>
        <w:pStyle w:val="NoSpacing"/>
        <w:numPr>
          <w:ilvl w:val="1"/>
          <w:numId w:val="4"/>
        </w:numPr>
        <w:rPr>
          <w:rFonts w:ascii="Arial" w:hAnsi="Arial" w:cs="Arial"/>
          <w:szCs w:val="24"/>
        </w:rPr>
      </w:pPr>
      <w:r w:rsidRPr="00CE574A">
        <w:rPr>
          <w:rFonts w:ascii="Arial" w:hAnsi="Arial" w:cs="Arial"/>
          <w:szCs w:val="24"/>
        </w:rPr>
        <w:t>Serving Las Cruces, Albuquerque, Rio Rancho, San</w:t>
      </w:r>
      <w:r>
        <w:rPr>
          <w:rFonts w:ascii="Arial" w:hAnsi="Arial" w:cs="Arial"/>
          <w:szCs w:val="24"/>
        </w:rPr>
        <w:t>ta Fe, Española, and Los Alamos</w:t>
      </w:r>
    </w:p>
    <w:p w14:paraId="5295D529" w14:textId="77777777" w:rsidR="00CE574A" w:rsidRPr="00CE574A" w:rsidRDefault="00CE574A" w:rsidP="00CE574A">
      <w:pPr>
        <w:pStyle w:val="NoSpacing"/>
        <w:rPr>
          <w:rFonts w:ascii="Arial" w:hAnsi="Arial" w:cs="Arial"/>
          <w:szCs w:val="24"/>
        </w:rPr>
      </w:pPr>
    </w:p>
    <w:p w14:paraId="591F5671" w14:textId="77777777" w:rsidR="00CE574A" w:rsidRPr="00CE574A" w:rsidRDefault="00CE574A" w:rsidP="00CE574A">
      <w:pPr>
        <w:pStyle w:val="NoSpacing"/>
        <w:rPr>
          <w:rFonts w:ascii="Arial" w:hAnsi="Arial" w:cs="Arial"/>
          <w:b/>
          <w:szCs w:val="24"/>
          <w:u w:val="single"/>
        </w:rPr>
      </w:pPr>
      <w:r w:rsidRPr="00CE574A">
        <w:rPr>
          <w:rFonts w:ascii="Arial" w:hAnsi="Arial" w:cs="Arial"/>
          <w:b/>
          <w:szCs w:val="24"/>
          <w:u w:val="single"/>
        </w:rPr>
        <w:t>PPP, EIDL, SVOG: Not Sure Which is Right For You?</w:t>
      </w:r>
    </w:p>
    <w:p w14:paraId="22441102" w14:textId="77777777" w:rsidR="00CE574A" w:rsidRPr="00CE574A" w:rsidRDefault="00CE574A" w:rsidP="00CE574A">
      <w:pPr>
        <w:pStyle w:val="NoSpacing"/>
        <w:rPr>
          <w:rFonts w:ascii="Arial" w:hAnsi="Arial" w:cs="Arial"/>
          <w:szCs w:val="24"/>
        </w:rPr>
      </w:pPr>
      <w:r w:rsidRPr="00CE574A">
        <w:rPr>
          <w:rFonts w:ascii="Arial" w:hAnsi="Arial" w:cs="Arial"/>
          <w:szCs w:val="24"/>
        </w:rPr>
        <w:t xml:space="preserve">Join the SBA New Mexico District Office for a webinar tomorrow (Thursday, April 1), from 1-2pm. Please register for this at </w:t>
      </w:r>
      <w:hyperlink r:id="rId11" w:history="1">
        <w:r w:rsidRPr="00CE574A">
          <w:rPr>
            <w:rStyle w:val="Hyperlink"/>
            <w:rFonts w:ascii="Arial" w:hAnsi="Arial" w:cs="Arial"/>
            <w:szCs w:val="24"/>
          </w:rPr>
          <w:t>https://www.eventbrite.com/e/apr1-small-business-recovery-and-resilience-webinar-registration-148931493105</w:t>
        </w:r>
      </w:hyperlink>
    </w:p>
    <w:p w14:paraId="284D390B" w14:textId="77777777" w:rsidR="00CE574A" w:rsidRPr="00CE574A" w:rsidRDefault="00CE574A" w:rsidP="00CE574A">
      <w:pPr>
        <w:pStyle w:val="NoSpacing"/>
        <w:rPr>
          <w:rFonts w:ascii="Arial" w:hAnsi="Arial" w:cs="Arial"/>
          <w:szCs w:val="24"/>
        </w:rPr>
      </w:pPr>
    </w:p>
    <w:p w14:paraId="35922121" w14:textId="6844E1EF" w:rsidR="00CE574A" w:rsidRDefault="00CE574A" w:rsidP="00CE574A">
      <w:pPr>
        <w:pStyle w:val="NoSpacing"/>
        <w:rPr>
          <w:rFonts w:ascii="Arial" w:hAnsi="Arial" w:cs="Arial"/>
          <w:szCs w:val="24"/>
        </w:rPr>
      </w:pPr>
      <w:r w:rsidRPr="00CE574A">
        <w:rPr>
          <w:rFonts w:ascii="Arial" w:hAnsi="Arial" w:cs="Arial"/>
          <w:szCs w:val="24"/>
        </w:rPr>
        <w:t xml:space="preserve">For more information, and for assistance for all entrepreneurial-minded veterans and transitioning active-duty service members, please contact VBOC Director Rich Coffel at </w:t>
      </w:r>
      <w:hyperlink r:id="rId12" w:history="1">
        <w:r w:rsidRPr="00CE574A">
          <w:rPr>
            <w:rStyle w:val="Hyperlink"/>
            <w:rFonts w:ascii="Arial" w:hAnsi="Arial" w:cs="Arial"/>
            <w:szCs w:val="24"/>
          </w:rPr>
          <w:t>richardL.coffel@state.nm.us</w:t>
        </w:r>
      </w:hyperlink>
      <w:r w:rsidRPr="00CE574A">
        <w:rPr>
          <w:rFonts w:ascii="Arial" w:hAnsi="Arial" w:cs="Arial"/>
          <w:szCs w:val="24"/>
        </w:rPr>
        <w:t xml:space="preserve"> or (505) 220-9932.</w:t>
      </w:r>
      <w:r w:rsidR="00D124EC">
        <w:rPr>
          <w:rFonts w:ascii="Arial" w:hAnsi="Arial" w:cs="Arial"/>
          <w:szCs w:val="24"/>
        </w:rPr>
        <w:t xml:space="preserve"> Or go to the DVS website at </w:t>
      </w:r>
      <w:hyperlink r:id="rId13" w:history="1">
        <w:r w:rsidR="00D124EC" w:rsidRPr="00E65152">
          <w:rPr>
            <w:rStyle w:val="Hyperlink"/>
            <w:rFonts w:ascii="Arial" w:hAnsi="Arial" w:cs="Arial"/>
            <w:szCs w:val="24"/>
          </w:rPr>
          <w:t>http://www.nmdvs.org/</w:t>
        </w:r>
      </w:hyperlink>
      <w:r w:rsidR="00D124EC">
        <w:rPr>
          <w:rFonts w:ascii="Arial" w:hAnsi="Arial" w:cs="Arial"/>
          <w:szCs w:val="24"/>
        </w:rPr>
        <w:t xml:space="preserve"> and click on the “Services” heading to find the VBOC link.</w:t>
      </w:r>
    </w:p>
    <w:bookmarkEnd w:id="0"/>
    <w:p w14:paraId="0CDF9F1E" w14:textId="77777777" w:rsidR="00D124EC" w:rsidRPr="00CE574A" w:rsidRDefault="00D124EC" w:rsidP="00CE574A">
      <w:pPr>
        <w:pStyle w:val="NoSpacing"/>
        <w:rPr>
          <w:rFonts w:ascii="Arial" w:hAnsi="Arial" w:cs="Arial"/>
          <w:szCs w:val="24"/>
        </w:rPr>
      </w:pPr>
    </w:p>
    <w:p w14:paraId="34919EEE" w14:textId="77777777" w:rsidR="009575EE" w:rsidRPr="00144701" w:rsidRDefault="009575EE" w:rsidP="009575EE">
      <w:pPr>
        <w:rPr>
          <w:rFonts w:ascii="Arial" w:eastAsiaTheme="minorEastAsia" w:hAnsi="Arial" w:cs="Arial"/>
          <w:bCs/>
          <w:i/>
          <w:noProof/>
          <w:szCs w:val="24"/>
        </w:rPr>
      </w:pPr>
    </w:p>
    <w:p w14:paraId="7DC9E661" w14:textId="43DBEE3C" w:rsidR="00CB3586" w:rsidRDefault="00CB3586" w:rsidP="00CB3586">
      <w:pPr>
        <w:pStyle w:val="NoSpacing"/>
      </w:pPr>
    </w:p>
    <w:p w14:paraId="4792002F" w14:textId="24BA8150" w:rsidR="00B278BE" w:rsidRPr="00144701" w:rsidRDefault="00B278BE" w:rsidP="00C82784">
      <w:pPr>
        <w:pStyle w:val="NoSpacing"/>
        <w:rPr>
          <w:rFonts w:ascii="Arial" w:hAnsi="Arial" w:cs="Arial"/>
        </w:rPr>
      </w:pPr>
    </w:p>
    <w:p w14:paraId="471DEDE8" w14:textId="77777777" w:rsidR="00B278BE" w:rsidRPr="00144701" w:rsidRDefault="00B278BE" w:rsidP="00B278BE">
      <w:pPr>
        <w:pStyle w:val="NoSpacing"/>
        <w:rPr>
          <w:rFonts w:ascii="Arial" w:hAnsi="Arial" w:cs="Arial"/>
        </w:rPr>
      </w:pPr>
    </w:p>
    <w:p w14:paraId="623CA729" w14:textId="77777777" w:rsidR="00B278BE" w:rsidRPr="00144701" w:rsidRDefault="00B278BE" w:rsidP="00B278BE">
      <w:pPr>
        <w:pStyle w:val="NoSpacing"/>
        <w:rPr>
          <w:rFonts w:ascii="Arial" w:hAnsi="Arial" w:cs="Arial"/>
        </w:rPr>
      </w:pPr>
    </w:p>
    <w:p w14:paraId="15BC11D6" w14:textId="42E1716D" w:rsidR="009575EE" w:rsidRPr="004959FF" w:rsidRDefault="003402EC" w:rsidP="00D210C1">
      <w:pPr>
        <w:jc w:val="center"/>
        <w:rPr>
          <w:rFonts w:ascii="Arial" w:eastAsiaTheme="minorEastAsia" w:hAnsi="Arial" w:cs="Arial"/>
          <w:bCs/>
          <w:noProof/>
          <w:szCs w:val="24"/>
        </w:rPr>
      </w:pPr>
      <w:r>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813E3"/>
    <w:multiLevelType w:val="hybridMultilevel"/>
    <w:tmpl w:val="1ACC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31A51"/>
    <w:rsid w:val="00140940"/>
    <w:rsid w:val="00144701"/>
    <w:rsid w:val="001C476C"/>
    <w:rsid w:val="001D0BC9"/>
    <w:rsid w:val="00272BCB"/>
    <w:rsid w:val="00281AE3"/>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E43FA"/>
    <w:rsid w:val="0066763A"/>
    <w:rsid w:val="006C589D"/>
    <w:rsid w:val="006F41AB"/>
    <w:rsid w:val="006F4DA5"/>
    <w:rsid w:val="007B3F6A"/>
    <w:rsid w:val="007C10F4"/>
    <w:rsid w:val="007F69FE"/>
    <w:rsid w:val="00824B55"/>
    <w:rsid w:val="00886CD2"/>
    <w:rsid w:val="008A3D60"/>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B3586"/>
    <w:rsid w:val="00CE574A"/>
    <w:rsid w:val="00CF1F90"/>
    <w:rsid w:val="00D124EC"/>
    <w:rsid w:val="00D210C1"/>
    <w:rsid w:val="00D404F5"/>
    <w:rsid w:val="00D44627"/>
    <w:rsid w:val="00D46704"/>
    <w:rsid w:val="00D73995"/>
    <w:rsid w:val="00D765B8"/>
    <w:rsid w:val="00D83FDA"/>
    <w:rsid w:val="00DB352B"/>
    <w:rsid w:val="00DD1E3D"/>
    <w:rsid w:val="00E5063E"/>
    <w:rsid w:val="00E56598"/>
    <w:rsid w:val="00E91AE9"/>
    <w:rsid w:val="00ED264D"/>
    <w:rsid w:val="00EE12A0"/>
    <w:rsid w:val="00EE13DA"/>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20641374">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tfund.com/ppp-2021-summary/?location=new-mexico" TargetMode="External"/><Relationship Id="rId13" Type="http://schemas.openxmlformats.org/officeDocument/2006/relationships/hyperlink" Target="http://www.nmdvs.org/" TargetMode="External"/><Relationship Id="rId3" Type="http://schemas.openxmlformats.org/officeDocument/2006/relationships/settings" Target="settings.xml"/><Relationship Id="rId7" Type="http://schemas.openxmlformats.org/officeDocument/2006/relationships/hyperlink" Target="https://www.dreamspring.org/" TargetMode="External"/><Relationship Id="rId12" Type="http://schemas.openxmlformats.org/officeDocument/2006/relationships/hyperlink" Target="mailto:richardL.coffel@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11" Type="http://schemas.openxmlformats.org/officeDocument/2006/relationships/hyperlink" Target="https://www.eventbrite.com/e/apr1-small-business-recovery-and-resilience-webinar-registration-14893149310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mycenturybank.com/covid-19-relief-business" TargetMode="External"/><Relationship Id="rId4" Type="http://schemas.openxmlformats.org/officeDocument/2006/relationships/webSettings" Target="webSettings.xml"/><Relationship Id="rId9" Type="http://schemas.openxmlformats.org/officeDocument/2006/relationships/hyperlink" Target="https://www.rcac.org/lending/paycheck-protection-program-p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4</cp:revision>
  <dcterms:created xsi:type="dcterms:W3CDTF">2021-03-31T22:29:00Z</dcterms:created>
  <dcterms:modified xsi:type="dcterms:W3CDTF">2021-03-31T22:40:00Z</dcterms:modified>
</cp:coreProperties>
</file>